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CD9" w:rsidRDefault="00581CD9" w:rsidP="00BA1159"/>
    <w:p w:rsidR="005667BD" w:rsidRDefault="005667BD" w:rsidP="00BA1159">
      <w:r>
        <w:t>May 4, 2017</w:t>
      </w:r>
    </w:p>
    <w:p w:rsidR="007A5B50" w:rsidRDefault="005667BD" w:rsidP="005667BD">
      <w:pPr>
        <w:spacing w:after="0" w:line="240" w:lineRule="auto"/>
      </w:pPr>
      <w:r>
        <w:t>Paula Gruendling</w:t>
      </w:r>
    </w:p>
    <w:p w:rsidR="005667BD" w:rsidRDefault="005667BD" w:rsidP="005667BD">
      <w:pPr>
        <w:spacing w:after="0" w:line="240" w:lineRule="auto"/>
      </w:pPr>
      <w:r>
        <w:t>Amul Sathe</w:t>
      </w:r>
    </w:p>
    <w:p w:rsidR="005667BD" w:rsidRDefault="005667BD" w:rsidP="005667BD">
      <w:pPr>
        <w:spacing w:after="0" w:line="240" w:lineRule="auto"/>
      </w:pPr>
      <w:r>
        <w:t>Chris Ann Dickerson</w:t>
      </w:r>
    </w:p>
    <w:p w:rsidR="005667BD" w:rsidRDefault="005667BD" w:rsidP="005667BD">
      <w:pPr>
        <w:spacing w:after="0" w:line="240" w:lineRule="auto"/>
      </w:pPr>
    </w:p>
    <w:p w:rsidR="007A5B50" w:rsidRDefault="005667BD" w:rsidP="00BA1159">
      <w:r>
        <w:t>SUBJECT: 2018 and Beyond Potential and Goals study: BROs</w:t>
      </w:r>
    </w:p>
    <w:p w:rsidR="007A5B50" w:rsidRDefault="007A5B50" w:rsidP="00BA1159"/>
    <w:p w:rsidR="007A5B50" w:rsidRDefault="007A5B50" w:rsidP="005667BD">
      <w:pPr>
        <w:spacing w:line="480" w:lineRule="auto"/>
        <w:ind w:firstLine="720"/>
      </w:pPr>
      <w:r>
        <w:t xml:space="preserve">The California Efficiency + Demand Management Council (“Council” – previously the California Energy Efficiency Industry Council) appreciates the opportunity to provide comments </w:t>
      </w:r>
      <w:r w:rsidR="005667BD">
        <w:t>on the April 20, 2017 overview of the Behavior, Operational Efficiency and Retro-commissioning (BRO</w:t>
      </w:r>
      <w:r w:rsidR="00A406F0">
        <w:t>s</w:t>
      </w:r>
      <w:r w:rsidR="005667BD">
        <w:t>) methodology and draft results from the CPUC 2018 and Beyond Potential and Goals study</w:t>
      </w:r>
      <w:r w:rsidR="00A406F0">
        <w:t xml:space="preserve"> (Potential and Goals Study)</w:t>
      </w:r>
      <w:r w:rsidR="005667BD">
        <w:t xml:space="preserve">. </w:t>
      </w:r>
    </w:p>
    <w:p w:rsidR="00B10882" w:rsidRDefault="00B10882" w:rsidP="005667BD">
      <w:pPr>
        <w:spacing w:line="480" w:lineRule="auto"/>
        <w:ind w:firstLine="720"/>
      </w:pPr>
      <w:r>
        <w:t xml:space="preserve">The Council is a statewide trade association of non-utility companies that provide energy efficiency and demand response services and products in California. The Council’s member businesses represent implementation and evaluation experts, energy data analytics providers, energy service companies, demand response companies, engineering and architecture firms, contractors, financing experts, workforce training entities, and manufacturers of energy efficiency and demand response products. The Council’s member companies </w:t>
      </w:r>
      <w:r w:rsidR="00A56B25">
        <w:t xml:space="preserve">look forward to participating in new </w:t>
      </w:r>
      <w:r w:rsidR="00324F74">
        <w:t xml:space="preserve">and innovative </w:t>
      </w:r>
      <w:r w:rsidR="00A56B25">
        <w:t xml:space="preserve">programs that will open up this significant opportunity in all market sectors. </w:t>
      </w:r>
    </w:p>
    <w:p w:rsidR="00B10882" w:rsidRDefault="00A406F0" w:rsidP="00B10882">
      <w:pPr>
        <w:spacing w:line="480" w:lineRule="auto"/>
        <w:ind w:firstLine="720"/>
      </w:pPr>
      <w:r>
        <w:t xml:space="preserve">The Council is encouraged to see the CPUC expand the scope of the Potential and Goals Study to include BROs as we see this as an area of significant potential for energy savings. </w:t>
      </w:r>
      <w:r w:rsidR="00C83E82">
        <w:t>Given California’s</w:t>
      </w:r>
      <w:r>
        <w:t xml:space="preserve"> aggressive efficiency goal</w:t>
      </w:r>
      <w:r w:rsidR="00C83E82">
        <w:t>s and supportive legislation (SB 350 and AB 802) to authorize programs to achieve deeper savings through BRO activities,</w:t>
      </w:r>
      <w:r>
        <w:t xml:space="preserve"> the time is right to </w:t>
      </w:r>
      <w:r w:rsidR="00B10882">
        <w:t xml:space="preserve">incorporate this significant </w:t>
      </w:r>
      <w:r w:rsidR="00B10882">
        <w:lastRenderedPageBreak/>
        <w:t xml:space="preserve">opportunity for energy savings and develop new </w:t>
      </w:r>
      <w:r w:rsidR="00324F74">
        <w:t xml:space="preserve">and innovative </w:t>
      </w:r>
      <w:bookmarkStart w:id="0" w:name="_GoBack"/>
      <w:bookmarkEnd w:id="0"/>
      <w:r w:rsidR="00B10882">
        <w:t xml:space="preserve">programs and/or modify existing programs and incentives to focus on BRO measures.  </w:t>
      </w:r>
    </w:p>
    <w:p w:rsidR="00C83E82" w:rsidRDefault="00C83E82" w:rsidP="005667BD">
      <w:pPr>
        <w:spacing w:line="480" w:lineRule="auto"/>
        <w:ind w:firstLine="720"/>
      </w:pPr>
      <w:r>
        <w:t xml:space="preserve">The initial results from the Potential and Goals Study support the Council’s belief that BROs is an area of significant potential for cost-effective energy savings. </w:t>
      </w:r>
      <w:r w:rsidR="00BF0E9C">
        <w:t xml:space="preserve">We appreciate Navigant’s approach to use the best available savings estimates as the basis for forecasting energy efficiency potential, including sources from California as well as other jurisdictions. </w:t>
      </w:r>
      <w:r w:rsidR="00A56B25">
        <w:t>While there may be a significant amount of data available in California on retrocommissioning and residential behavioral programs, there may be fewer data sources available for other BROs areas, including operational efficiency and strategic energy management. In those cases, i</w:t>
      </w:r>
      <w:r w:rsidR="00BF0E9C">
        <w:t xml:space="preserve">t </w:t>
      </w:r>
      <w:r w:rsidR="00A56B25">
        <w:t xml:space="preserve">likely </w:t>
      </w:r>
      <w:r w:rsidR="00BF0E9C">
        <w:t xml:space="preserve">makes sense to adjust some of the published estimates by professional judgment to better match current or proposed California programs and conditions. </w:t>
      </w:r>
    </w:p>
    <w:p w:rsidR="00BF0E9C" w:rsidRDefault="00BF0E9C" w:rsidP="005667BD">
      <w:pPr>
        <w:spacing w:line="480" w:lineRule="auto"/>
        <w:ind w:firstLine="720"/>
      </w:pPr>
      <w:r>
        <w:t xml:space="preserve">The Council does not share the concern expressed by some meeting participants that some of the study results for the BRO potential calculations may be from pilot programs and/or use small sample sizes. It is important to recognize the array of opportunities in the BRO space and to use the best available data to determine “placeholder” values as California breaks new ground. </w:t>
      </w:r>
      <w:r w:rsidR="00630048">
        <w:t xml:space="preserve">The savings estimates from energy savings competitions were limited to the DOE partnerships, but that doesn’t render them without significant value. </w:t>
      </w:r>
      <w:r>
        <w:t xml:space="preserve">As more data becomes available, the study </w:t>
      </w:r>
      <w:r w:rsidR="00630048">
        <w:t xml:space="preserve">and savings estimates </w:t>
      </w:r>
      <w:r>
        <w:t xml:space="preserve">can be revised, but we need a starting point to </w:t>
      </w:r>
      <w:r w:rsidR="00B10882">
        <w:t>encourage</w:t>
      </w:r>
      <w:r>
        <w:t xml:space="preserve"> these new opportunities for energy savings. In some cases, it may make sense, as Navigant suggested, to address some of the uncertainty by weighting the “better” or “more reliable” estimates more heavily than inputs derived from less stringent research. </w:t>
      </w:r>
    </w:p>
    <w:p w:rsidR="00A56B25" w:rsidRDefault="00A56B25" w:rsidP="005667BD">
      <w:pPr>
        <w:spacing w:line="480" w:lineRule="auto"/>
        <w:ind w:firstLine="720"/>
      </w:pPr>
      <w:r>
        <w:t xml:space="preserve">Regarding the EULs used in the study, there are many ways to show persistence of savings. There have been full-fledged utility programs implementing and incentivizing service agreements, fault detection and diagnostics and computerized maintenance management systems. These efforts have extended the EUL of retrocommissioning measures from three years all to way to eight years and </w:t>
      </w:r>
      <w:r>
        <w:lastRenderedPageBreak/>
        <w:t xml:space="preserve">beyond. </w:t>
      </w:r>
      <w:r w:rsidR="00324F74">
        <w:t xml:space="preserve">Strategic energy management represents a significant opportunity and framework for encouraging BRO measures and represents a potential to extend the EUL of BRO measures through measurement and verification of resulting BRO savings. </w:t>
      </w:r>
    </w:p>
    <w:p w:rsidR="00324F74" w:rsidRDefault="00324F74" w:rsidP="005667BD">
      <w:pPr>
        <w:spacing w:line="480" w:lineRule="auto"/>
        <w:ind w:firstLine="720"/>
      </w:pPr>
      <w:r>
        <w:t>We appreciate the opportunity to provide these brief comments in support of the expanded BROs scope of Potential and Goals Study. As stated above, our members are anxious to participate in programs that will expand this significant opportunity in all market sectors, including Industrial and Agriculture. We look forward to reviewing the Draft Report this Summer.</w:t>
      </w:r>
    </w:p>
    <w:p w:rsidR="00243150" w:rsidRDefault="00243150" w:rsidP="00BA1159"/>
    <w:p w:rsidR="00243150" w:rsidRDefault="00324F74" w:rsidP="00324F74">
      <w:pPr>
        <w:spacing w:after="0" w:line="240" w:lineRule="auto"/>
      </w:pPr>
      <w:r>
        <w:t>Melanie Gillette</w:t>
      </w:r>
    </w:p>
    <w:p w:rsidR="00324F74" w:rsidRDefault="00324F74" w:rsidP="00324F74">
      <w:pPr>
        <w:spacing w:after="0" w:line="240" w:lineRule="auto"/>
      </w:pPr>
      <w:r>
        <w:t>Senior Policy Director</w:t>
      </w:r>
    </w:p>
    <w:p w:rsidR="00324F74" w:rsidRDefault="00324F74" w:rsidP="00324F74">
      <w:pPr>
        <w:spacing w:after="0" w:line="240" w:lineRule="auto"/>
      </w:pPr>
      <w:r>
        <w:t>California Efficiency + Demand Management Council</w:t>
      </w:r>
    </w:p>
    <w:p w:rsidR="00243150" w:rsidRDefault="00243150" w:rsidP="00BA1159"/>
    <w:p w:rsidR="00243150" w:rsidRDefault="00243150" w:rsidP="00BA1159"/>
    <w:p w:rsidR="00243150" w:rsidRDefault="00243150" w:rsidP="00BA1159"/>
    <w:p w:rsidR="00243150" w:rsidRDefault="00243150" w:rsidP="00BA1159"/>
    <w:p w:rsidR="00243150" w:rsidRDefault="00243150" w:rsidP="00BA1159"/>
    <w:p w:rsidR="00243150" w:rsidRDefault="00243150" w:rsidP="00BA1159"/>
    <w:p w:rsidR="00243150" w:rsidRDefault="00243150" w:rsidP="00BA1159"/>
    <w:p w:rsidR="00243150" w:rsidRDefault="00243150" w:rsidP="00BA1159"/>
    <w:p w:rsidR="00243150" w:rsidRDefault="00243150" w:rsidP="00BA1159"/>
    <w:p w:rsidR="00243150" w:rsidRDefault="00243150" w:rsidP="00BA1159"/>
    <w:p w:rsidR="00243150" w:rsidRDefault="00243150" w:rsidP="00BA1159"/>
    <w:p w:rsidR="00243150" w:rsidRDefault="00243150" w:rsidP="00BA1159"/>
    <w:p w:rsidR="00243150" w:rsidRDefault="00243150" w:rsidP="00BA1159"/>
    <w:p w:rsidR="00243150" w:rsidRDefault="00243150" w:rsidP="00BA1159"/>
    <w:p w:rsidR="00243150" w:rsidRDefault="00243150" w:rsidP="00BA1159"/>
    <w:p w:rsidR="00243150" w:rsidRDefault="00243150" w:rsidP="000260DE">
      <w:pPr>
        <w:jc w:val="center"/>
      </w:pPr>
    </w:p>
    <w:sectPr w:rsidR="00243150" w:rsidSect="00A56B25">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436" w:rsidRDefault="00381436" w:rsidP="000260DE">
      <w:pPr>
        <w:spacing w:after="0" w:line="240" w:lineRule="auto"/>
      </w:pPr>
      <w:r>
        <w:separator/>
      </w:r>
    </w:p>
  </w:endnote>
  <w:endnote w:type="continuationSeparator" w:id="0">
    <w:p w:rsidR="00381436" w:rsidRDefault="00381436" w:rsidP="00026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8087413"/>
      <w:docPartObj>
        <w:docPartGallery w:val="Page Numbers (Bottom of Page)"/>
        <w:docPartUnique/>
      </w:docPartObj>
    </w:sdtPr>
    <w:sdtEndPr>
      <w:rPr>
        <w:noProof/>
      </w:rPr>
    </w:sdtEndPr>
    <w:sdtContent>
      <w:p w:rsidR="00467BF5" w:rsidRDefault="00467BF5">
        <w:pPr>
          <w:pStyle w:val="Footer"/>
          <w:jc w:val="right"/>
        </w:pPr>
        <w:r>
          <w:fldChar w:fldCharType="begin"/>
        </w:r>
        <w:r>
          <w:instrText xml:space="preserve"> PAGE   \* MERGEFORMAT </w:instrText>
        </w:r>
        <w:r>
          <w:fldChar w:fldCharType="separate"/>
        </w:r>
        <w:r w:rsidR="00324F74">
          <w:rPr>
            <w:noProof/>
          </w:rPr>
          <w:t>3</w:t>
        </w:r>
        <w:r>
          <w:rPr>
            <w:noProof/>
          </w:rPr>
          <w:fldChar w:fldCharType="end"/>
        </w:r>
      </w:p>
    </w:sdtContent>
  </w:sdt>
  <w:p w:rsidR="00467BF5" w:rsidRPr="00D44C64" w:rsidRDefault="00467BF5" w:rsidP="00D44C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BF5" w:rsidRDefault="00467BF5">
    <w:pPr>
      <w:pStyle w:val="Footer"/>
    </w:pPr>
    <w:r>
      <w:rPr>
        <w:noProof/>
      </w:rPr>
      <w:drawing>
        <wp:inline distT="0" distB="0" distL="0" distR="0">
          <wp:extent cx="5943600" cy="6445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etterhead Footer Imag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3600" cy="6445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436" w:rsidRDefault="00381436" w:rsidP="000260DE">
      <w:pPr>
        <w:spacing w:after="0" w:line="240" w:lineRule="auto"/>
      </w:pPr>
      <w:r>
        <w:separator/>
      </w:r>
    </w:p>
  </w:footnote>
  <w:footnote w:type="continuationSeparator" w:id="0">
    <w:p w:rsidR="00381436" w:rsidRDefault="00381436" w:rsidP="000260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BF5" w:rsidRDefault="00467BF5" w:rsidP="003B3121">
    <w:pPr>
      <w:pStyle w:val="Header"/>
      <w:jc w:val="center"/>
    </w:pPr>
    <w:r>
      <w:rPr>
        <w:noProof/>
      </w:rPr>
      <w:drawing>
        <wp:inline distT="0" distB="0" distL="0" distR="0" wp14:anchorId="6ECD4E8D" wp14:editId="554B6032">
          <wp:extent cx="1630889" cy="1115834"/>
          <wp:effectExtent l="0" t="0" r="762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EDMC Logo Red Final No Tag.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67586" cy="114094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65D7B"/>
    <w:multiLevelType w:val="hybridMultilevel"/>
    <w:tmpl w:val="FBBE4F4E"/>
    <w:lvl w:ilvl="0" w:tplc="C1C062A8">
      <w:start w:val="1"/>
      <w:numFmt w:val="bullet"/>
      <w:lvlText w:val="•"/>
      <w:lvlJc w:val="left"/>
      <w:pPr>
        <w:tabs>
          <w:tab w:val="num" w:pos="720"/>
        </w:tabs>
        <w:ind w:left="720" w:hanging="360"/>
      </w:pPr>
      <w:rPr>
        <w:rFonts w:ascii="Arial" w:hAnsi="Arial" w:hint="default"/>
      </w:rPr>
    </w:lvl>
    <w:lvl w:ilvl="1" w:tplc="4EF6C32A">
      <w:numFmt w:val="bullet"/>
      <w:lvlText w:val="o"/>
      <w:lvlJc w:val="left"/>
      <w:pPr>
        <w:tabs>
          <w:tab w:val="num" w:pos="1440"/>
        </w:tabs>
        <w:ind w:left="1440" w:hanging="360"/>
      </w:pPr>
      <w:rPr>
        <w:rFonts w:ascii="Courier New" w:hAnsi="Courier New" w:hint="default"/>
      </w:rPr>
    </w:lvl>
    <w:lvl w:ilvl="2" w:tplc="CCF8EC60" w:tentative="1">
      <w:start w:val="1"/>
      <w:numFmt w:val="bullet"/>
      <w:lvlText w:val="•"/>
      <w:lvlJc w:val="left"/>
      <w:pPr>
        <w:tabs>
          <w:tab w:val="num" w:pos="2160"/>
        </w:tabs>
        <w:ind w:left="2160" w:hanging="360"/>
      </w:pPr>
      <w:rPr>
        <w:rFonts w:ascii="Arial" w:hAnsi="Arial" w:hint="default"/>
      </w:rPr>
    </w:lvl>
    <w:lvl w:ilvl="3" w:tplc="D242DF08" w:tentative="1">
      <w:start w:val="1"/>
      <w:numFmt w:val="bullet"/>
      <w:lvlText w:val="•"/>
      <w:lvlJc w:val="left"/>
      <w:pPr>
        <w:tabs>
          <w:tab w:val="num" w:pos="2880"/>
        </w:tabs>
        <w:ind w:left="2880" w:hanging="360"/>
      </w:pPr>
      <w:rPr>
        <w:rFonts w:ascii="Arial" w:hAnsi="Arial" w:hint="default"/>
      </w:rPr>
    </w:lvl>
    <w:lvl w:ilvl="4" w:tplc="CEAEA01A" w:tentative="1">
      <w:start w:val="1"/>
      <w:numFmt w:val="bullet"/>
      <w:lvlText w:val="•"/>
      <w:lvlJc w:val="left"/>
      <w:pPr>
        <w:tabs>
          <w:tab w:val="num" w:pos="3600"/>
        </w:tabs>
        <w:ind w:left="3600" w:hanging="360"/>
      </w:pPr>
      <w:rPr>
        <w:rFonts w:ascii="Arial" w:hAnsi="Arial" w:hint="default"/>
      </w:rPr>
    </w:lvl>
    <w:lvl w:ilvl="5" w:tplc="89D2D896" w:tentative="1">
      <w:start w:val="1"/>
      <w:numFmt w:val="bullet"/>
      <w:lvlText w:val="•"/>
      <w:lvlJc w:val="left"/>
      <w:pPr>
        <w:tabs>
          <w:tab w:val="num" w:pos="4320"/>
        </w:tabs>
        <w:ind w:left="4320" w:hanging="360"/>
      </w:pPr>
      <w:rPr>
        <w:rFonts w:ascii="Arial" w:hAnsi="Arial" w:hint="default"/>
      </w:rPr>
    </w:lvl>
    <w:lvl w:ilvl="6" w:tplc="AC1AEAF2" w:tentative="1">
      <w:start w:val="1"/>
      <w:numFmt w:val="bullet"/>
      <w:lvlText w:val="•"/>
      <w:lvlJc w:val="left"/>
      <w:pPr>
        <w:tabs>
          <w:tab w:val="num" w:pos="5040"/>
        </w:tabs>
        <w:ind w:left="5040" w:hanging="360"/>
      </w:pPr>
      <w:rPr>
        <w:rFonts w:ascii="Arial" w:hAnsi="Arial" w:hint="default"/>
      </w:rPr>
    </w:lvl>
    <w:lvl w:ilvl="7" w:tplc="C38EA1AA" w:tentative="1">
      <w:start w:val="1"/>
      <w:numFmt w:val="bullet"/>
      <w:lvlText w:val="•"/>
      <w:lvlJc w:val="left"/>
      <w:pPr>
        <w:tabs>
          <w:tab w:val="num" w:pos="5760"/>
        </w:tabs>
        <w:ind w:left="5760" w:hanging="360"/>
      </w:pPr>
      <w:rPr>
        <w:rFonts w:ascii="Arial" w:hAnsi="Arial" w:hint="default"/>
      </w:rPr>
    </w:lvl>
    <w:lvl w:ilvl="8" w:tplc="A51E00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4274C9"/>
    <w:multiLevelType w:val="hybridMultilevel"/>
    <w:tmpl w:val="A934B2CE"/>
    <w:lvl w:ilvl="0" w:tplc="40D0ED2E">
      <w:start w:val="994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49473F"/>
    <w:multiLevelType w:val="hybridMultilevel"/>
    <w:tmpl w:val="0C22EB88"/>
    <w:lvl w:ilvl="0" w:tplc="7458D618">
      <w:start w:val="1"/>
      <w:numFmt w:val="bullet"/>
      <w:lvlText w:val="o"/>
      <w:lvlJc w:val="left"/>
      <w:pPr>
        <w:tabs>
          <w:tab w:val="num" w:pos="720"/>
        </w:tabs>
        <w:ind w:left="720" w:hanging="360"/>
      </w:pPr>
      <w:rPr>
        <w:rFonts w:ascii="Courier New" w:hAnsi="Courier New" w:hint="default"/>
      </w:rPr>
    </w:lvl>
    <w:lvl w:ilvl="1" w:tplc="0D04B42C" w:tentative="1">
      <w:start w:val="1"/>
      <w:numFmt w:val="bullet"/>
      <w:lvlText w:val="o"/>
      <w:lvlJc w:val="left"/>
      <w:pPr>
        <w:tabs>
          <w:tab w:val="num" w:pos="1440"/>
        </w:tabs>
        <w:ind w:left="1440" w:hanging="360"/>
      </w:pPr>
      <w:rPr>
        <w:rFonts w:ascii="Courier New" w:hAnsi="Courier New" w:hint="default"/>
      </w:rPr>
    </w:lvl>
    <w:lvl w:ilvl="2" w:tplc="7722C8F2" w:tentative="1">
      <w:start w:val="1"/>
      <w:numFmt w:val="bullet"/>
      <w:lvlText w:val="o"/>
      <w:lvlJc w:val="left"/>
      <w:pPr>
        <w:tabs>
          <w:tab w:val="num" w:pos="2160"/>
        </w:tabs>
        <w:ind w:left="2160" w:hanging="360"/>
      </w:pPr>
      <w:rPr>
        <w:rFonts w:ascii="Courier New" w:hAnsi="Courier New" w:hint="default"/>
      </w:rPr>
    </w:lvl>
    <w:lvl w:ilvl="3" w:tplc="923EBE5A" w:tentative="1">
      <w:start w:val="1"/>
      <w:numFmt w:val="bullet"/>
      <w:lvlText w:val="o"/>
      <w:lvlJc w:val="left"/>
      <w:pPr>
        <w:tabs>
          <w:tab w:val="num" w:pos="2880"/>
        </w:tabs>
        <w:ind w:left="2880" w:hanging="360"/>
      </w:pPr>
      <w:rPr>
        <w:rFonts w:ascii="Courier New" w:hAnsi="Courier New" w:hint="default"/>
      </w:rPr>
    </w:lvl>
    <w:lvl w:ilvl="4" w:tplc="FDF2E8AC" w:tentative="1">
      <w:start w:val="1"/>
      <w:numFmt w:val="bullet"/>
      <w:lvlText w:val="o"/>
      <w:lvlJc w:val="left"/>
      <w:pPr>
        <w:tabs>
          <w:tab w:val="num" w:pos="3600"/>
        </w:tabs>
        <w:ind w:left="3600" w:hanging="360"/>
      </w:pPr>
      <w:rPr>
        <w:rFonts w:ascii="Courier New" w:hAnsi="Courier New" w:hint="default"/>
      </w:rPr>
    </w:lvl>
    <w:lvl w:ilvl="5" w:tplc="8D347F2A" w:tentative="1">
      <w:start w:val="1"/>
      <w:numFmt w:val="bullet"/>
      <w:lvlText w:val="o"/>
      <w:lvlJc w:val="left"/>
      <w:pPr>
        <w:tabs>
          <w:tab w:val="num" w:pos="4320"/>
        </w:tabs>
        <w:ind w:left="4320" w:hanging="360"/>
      </w:pPr>
      <w:rPr>
        <w:rFonts w:ascii="Courier New" w:hAnsi="Courier New" w:hint="default"/>
      </w:rPr>
    </w:lvl>
    <w:lvl w:ilvl="6" w:tplc="D890C6D0" w:tentative="1">
      <w:start w:val="1"/>
      <w:numFmt w:val="bullet"/>
      <w:lvlText w:val="o"/>
      <w:lvlJc w:val="left"/>
      <w:pPr>
        <w:tabs>
          <w:tab w:val="num" w:pos="5040"/>
        </w:tabs>
        <w:ind w:left="5040" w:hanging="360"/>
      </w:pPr>
      <w:rPr>
        <w:rFonts w:ascii="Courier New" w:hAnsi="Courier New" w:hint="default"/>
      </w:rPr>
    </w:lvl>
    <w:lvl w:ilvl="7" w:tplc="BBBC8A1E" w:tentative="1">
      <w:start w:val="1"/>
      <w:numFmt w:val="bullet"/>
      <w:lvlText w:val="o"/>
      <w:lvlJc w:val="left"/>
      <w:pPr>
        <w:tabs>
          <w:tab w:val="num" w:pos="5760"/>
        </w:tabs>
        <w:ind w:left="5760" w:hanging="360"/>
      </w:pPr>
      <w:rPr>
        <w:rFonts w:ascii="Courier New" w:hAnsi="Courier New" w:hint="default"/>
      </w:rPr>
    </w:lvl>
    <w:lvl w:ilvl="8" w:tplc="2EBC680A"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594B6342"/>
    <w:multiLevelType w:val="hybridMultilevel"/>
    <w:tmpl w:val="4D4CDBEA"/>
    <w:lvl w:ilvl="0" w:tplc="363018C0">
      <w:start w:val="1"/>
      <w:numFmt w:val="bullet"/>
      <w:lvlText w:val="•"/>
      <w:lvlJc w:val="left"/>
      <w:pPr>
        <w:tabs>
          <w:tab w:val="num" w:pos="720"/>
        </w:tabs>
        <w:ind w:left="720" w:hanging="360"/>
      </w:pPr>
      <w:rPr>
        <w:rFonts w:ascii="Arial" w:hAnsi="Arial" w:hint="default"/>
      </w:rPr>
    </w:lvl>
    <w:lvl w:ilvl="1" w:tplc="D1CE859E" w:tentative="1">
      <w:start w:val="1"/>
      <w:numFmt w:val="bullet"/>
      <w:lvlText w:val="•"/>
      <w:lvlJc w:val="left"/>
      <w:pPr>
        <w:tabs>
          <w:tab w:val="num" w:pos="1440"/>
        </w:tabs>
        <w:ind w:left="1440" w:hanging="360"/>
      </w:pPr>
      <w:rPr>
        <w:rFonts w:ascii="Arial" w:hAnsi="Arial" w:hint="default"/>
      </w:rPr>
    </w:lvl>
    <w:lvl w:ilvl="2" w:tplc="729A18E8" w:tentative="1">
      <w:start w:val="1"/>
      <w:numFmt w:val="bullet"/>
      <w:lvlText w:val="•"/>
      <w:lvlJc w:val="left"/>
      <w:pPr>
        <w:tabs>
          <w:tab w:val="num" w:pos="2160"/>
        </w:tabs>
        <w:ind w:left="2160" w:hanging="360"/>
      </w:pPr>
      <w:rPr>
        <w:rFonts w:ascii="Arial" w:hAnsi="Arial" w:hint="default"/>
      </w:rPr>
    </w:lvl>
    <w:lvl w:ilvl="3" w:tplc="EE62B4F6" w:tentative="1">
      <w:start w:val="1"/>
      <w:numFmt w:val="bullet"/>
      <w:lvlText w:val="•"/>
      <w:lvlJc w:val="left"/>
      <w:pPr>
        <w:tabs>
          <w:tab w:val="num" w:pos="2880"/>
        </w:tabs>
        <w:ind w:left="2880" w:hanging="360"/>
      </w:pPr>
      <w:rPr>
        <w:rFonts w:ascii="Arial" w:hAnsi="Arial" w:hint="default"/>
      </w:rPr>
    </w:lvl>
    <w:lvl w:ilvl="4" w:tplc="CAC469D2" w:tentative="1">
      <w:start w:val="1"/>
      <w:numFmt w:val="bullet"/>
      <w:lvlText w:val="•"/>
      <w:lvlJc w:val="left"/>
      <w:pPr>
        <w:tabs>
          <w:tab w:val="num" w:pos="3600"/>
        </w:tabs>
        <w:ind w:left="3600" w:hanging="360"/>
      </w:pPr>
      <w:rPr>
        <w:rFonts w:ascii="Arial" w:hAnsi="Arial" w:hint="default"/>
      </w:rPr>
    </w:lvl>
    <w:lvl w:ilvl="5" w:tplc="31584518" w:tentative="1">
      <w:start w:val="1"/>
      <w:numFmt w:val="bullet"/>
      <w:lvlText w:val="•"/>
      <w:lvlJc w:val="left"/>
      <w:pPr>
        <w:tabs>
          <w:tab w:val="num" w:pos="4320"/>
        </w:tabs>
        <w:ind w:left="4320" w:hanging="360"/>
      </w:pPr>
      <w:rPr>
        <w:rFonts w:ascii="Arial" w:hAnsi="Arial" w:hint="default"/>
      </w:rPr>
    </w:lvl>
    <w:lvl w:ilvl="6" w:tplc="23EC6482" w:tentative="1">
      <w:start w:val="1"/>
      <w:numFmt w:val="bullet"/>
      <w:lvlText w:val="•"/>
      <w:lvlJc w:val="left"/>
      <w:pPr>
        <w:tabs>
          <w:tab w:val="num" w:pos="5040"/>
        </w:tabs>
        <w:ind w:left="5040" w:hanging="360"/>
      </w:pPr>
      <w:rPr>
        <w:rFonts w:ascii="Arial" w:hAnsi="Arial" w:hint="default"/>
      </w:rPr>
    </w:lvl>
    <w:lvl w:ilvl="7" w:tplc="417C8F94" w:tentative="1">
      <w:start w:val="1"/>
      <w:numFmt w:val="bullet"/>
      <w:lvlText w:val="•"/>
      <w:lvlJc w:val="left"/>
      <w:pPr>
        <w:tabs>
          <w:tab w:val="num" w:pos="5760"/>
        </w:tabs>
        <w:ind w:left="5760" w:hanging="360"/>
      </w:pPr>
      <w:rPr>
        <w:rFonts w:ascii="Arial" w:hAnsi="Arial" w:hint="default"/>
      </w:rPr>
    </w:lvl>
    <w:lvl w:ilvl="8" w:tplc="81F896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0DE"/>
    <w:rsid w:val="000260DE"/>
    <w:rsid w:val="00243150"/>
    <w:rsid w:val="002B5BF6"/>
    <w:rsid w:val="00324F74"/>
    <w:rsid w:val="00381436"/>
    <w:rsid w:val="003B3121"/>
    <w:rsid w:val="00462476"/>
    <w:rsid w:val="00467BF5"/>
    <w:rsid w:val="00521A94"/>
    <w:rsid w:val="005667BD"/>
    <w:rsid w:val="00581CD9"/>
    <w:rsid w:val="00630048"/>
    <w:rsid w:val="006D0C2D"/>
    <w:rsid w:val="0073780E"/>
    <w:rsid w:val="00776872"/>
    <w:rsid w:val="007A5B50"/>
    <w:rsid w:val="008A35B4"/>
    <w:rsid w:val="00917EDB"/>
    <w:rsid w:val="00936520"/>
    <w:rsid w:val="00A357B6"/>
    <w:rsid w:val="00A406F0"/>
    <w:rsid w:val="00A56B25"/>
    <w:rsid w:val="00B10882"/>
    <w:rsid w:val="00BA1159"/>
    <w:rsid w:val="00BF0E9C"/>
    <w:rsid w:val="00C006BC"/>
    <w:rsid w:val="00C6412C"/>
    <w:rsid w:val="00C83E82"/>
    <w:rsid w:val="00C92A44"/>
    <w:rsid w:val="00CD3D1D"/>
    <w:rsid w:val="00D44C64"/>
    <w:rsid w:val="00F76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45D913"/>
  <w15:docId w15:val="{81A32500-C87D-44FC-B699-50AEC839B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60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60DE"/>
  </w:style>
  <w:style w:type="paragraph" w:styleId="Footer">
    <w:name w:val="footer"/>
    <w:basedOn w:val="Normal"/>
    <w:link w:val="FooterChar"/>
    <w:uiPriority w:val="99"/>
    <w:unhideWhenUsed/>
    <w:rsid w:val="000260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60DE"/>
  </w:style>
  <w:style w:type="paragraph" w:customStyle="1" w:styleId="Default">
    <w:name w:val="Default"/>
    <w:rsid w:val="005667BD"/>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776872"/>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67B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7BF5"/>
    <w:rPr>
      <w:rFonts w:ascii="Tahoma" w:hAnsi="Tahoma" w:cs="Tahoma"/>
      <w:sz w:val="16"/>
      <w:szCs w:val="16"/>
    </w:rPr>
  </w:style>
  <w:style w:type="character" w:styleId="CommentReference">
    <w:name w:val="annotation reference"/>
    <w:basedOn w:val="DefaultParagraphFont"/>
    <w:uiPriority w:val="99"/>
    <w:semiHidden/>
    <w:unhideWhenUsed/>
    <w:rsid w:val="00467BF5"/>
    <w:rPr>
      <w:sz w:val="16"/>
      <w:szCs w:val="16"/>
    </w:rPr>
  </w:style>
  <w:style w:type="paragraph" w:styleId="CommentText">
    <w:name w:val="annotation text"/>
    <w:basedOn w:val="Normal"/>
    <w:link w:val="CommentTextChar"/>
    <w:uiPriority w:val="99"/>
    <w:semiHidden/>
    <w:unhideWhenUsed/>
    <w:rsid w:val="00467BF5"/>
    <w:pPr>
      <w:spacing w:line="240" w:lineRule="auto"/>
    </w:pPr>
    <w:rPr>
      <w:sz w:val="20"/>
      <w:szCs w:val="20"/>
    </w:rPr>
  </w:style>
  <w:style w:type="character" w:customStyle="1" w:styleId="CommentTextChar">
    <w:name w:val="Comment Text Char"/>
    <w:basedOn w:val="DefaultParagraphFont"/>
    <w:link w:val="CommentText"/>
    <w:uiPriority w:val="99"/>
    <w:semiHidden/>
    <w:rsid w:val="00467BF5"/>
    <w:rPr>
      <w:sz w:val="20"/>
      <w:szCs w:val="20"/>
    </w:rPr>
  </w:style>
  <w:style w:type="paragraph" w:styleId="CommentSubject">
    <w:name w:val="annotation subject"/>
    <w:basedOn w:val="CommentText"/>
    <w:next w:val="CommentText"/>
    <w:link w:val="CommentSubjectChar"/>
    <w:uiPriority w:val="99"/>
    <w:semiHidden/>
    <w:unhideWhenUsed/>
    <w:rsid w:val="00467BF5"/>
    <w:rPr>
      <w:b/>
      <w:bCs/>
    </w:rPr>
  </w:style>
  <w:style w:type="character" w:customStyle="1" w:styleId="CommentSubjectChar">
    <w:name w:val="Comment Subject Char"/>
    <w:basedOn w:val="CommentTextChar"/>
    <w:link w:val="CommentSubject"/>
    <w:uiPriority w:val="99"/>
    <w:semiHidden/>
    <w:rsid w:val="00467B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940259">
      <w:bodyDiv w:val="1"/>
      <w:marLeft w:val="0"/>
      <w:marRight w:val="0"/>
      <w:marTop w:val="0"/>
      <w:marBottom w:val="0"/>
      <w:divBdr>
        <w:top w:val="none" w:sz="0" w:space="0" w:color="auto"/>
        <w:left w:val="none" w:sz="0" w:space="0" w:color="auto"/>
        <w:bottom w:val="none" w:sz="0" w:space="0" w:color="auto"/>
        <w:right w:val="none" w:sz="0" w:space="0" w:color="auto"/>
      </w:divBdr>
      <w:divsChild>
        <w:div w:id="51347069">
          <w:marLeft w:val="86"/>
          <w:marRight w:val="0"/>
          <w:marTop w:val="0"/>
          <w:marBottom w:val="0"/>
          <w:divBdr>
            <w:top w:val="none" w:sz="0" w:space="0" w:color="auto"/>
            <w:left w:val="none" w:sz="0" w:space="0" w:color="auto"/>
            <w:bottom w:val="none" w:sz="0" w:space="0" w:color="auto"/>
            <w:right w:val="none" w:sz="0" w:space="0" w:color="auto"/>
          </w:divBdr>
        </w:div>
        <w:div w:id="787312295">
          <w:marLeft w:val="806"/>
          <w:marRight w:val="0"/>
          <w:marTop w:val="0"/>
          <w:marBottom w:val="0"/>
          <w:divBdr>
            <w:top w:val="none" w:sz="0" w:space="0" w:color="auto"/>
            <w:left w:val="none" w:sz="0" w:space="0" w:color="auto"/>
            <w:bottom w:val="none" w:sz="0" w:space="0" w:color="auto"/>
            <w:right w:val="none" w:sz="0" w:space="0" w:color="auto"/>
          </w:divBdr>
        </w:div>
        <w:div w:id="1590769455">
          <w:marLeft w:val="806"/>
          <w:marRight w:val="0"/>
          <w:marTop w:val="0"/>
          <w:marBottom w:val="0"/>
          <w:divBdr>
            <w:top w:val="none" w:sz="0" w:space="0" w:color="auto"/>
            <w:left w:val="none" w:sz="0" w:space="0" w:color="auto"/>
            <w:bottom w:val="none" w:sz="0" w:space="0" w:color="auto"/>
            <w:right w:val="none" w:sz="0" w:space="0" w:color="auto"/>
          </w:divBdr>
        </w:div>
        <w:div w:id="1754276216">
          <w:marLeft w:val="806"/>
          <w:marRight w:val="0"/>
          <w:marTop w:val="0"/>
          <w:marBottom w:val="0"/>
          <w:divBdr>
            <w:top w:val="none" w:sz="0" w:space="0" w:color="auto"/>
            <w:left w:val="none" w:sz="0" w:space="0" w:color="auto"/>
            <w:bottom w:val="none" w:sz="0" w:space="0" w:color="auto"/>
            <w:right w:val="none" w:sz="0" w:space="0" w:color="auto"/>
          </w:divBdr>
        </w:div>
        <w:div w:id="1752198800">
          <w:marLeft w:val="806"/>
          <w:marRight w:val="0"/>
          <w:marTop w:val="0"/>
          <w:marBottom w:val="0"/>
          <w:divBdr>
            <w:top w:val="none" w:sz="0" w:space="0" w:color="auto"/>
            <w:left w:val="none" w:sz="0" w:space="0" w:color="auto"/>
            <w:bottom w:val="none" w:sz="0" w:space="0" w:color="auto"/>
            <w:right w:val="none" w:sz="0" w:space="0" w:color="auto"/>
          </w:divBdr>
        </w:div>
      </w:divsChild>
    </w:div>
    <w:div w:id="826826445">
      <w:bodyDiv w:val="1"/>
      <w:marLeft w:val="0"/>
      <w:marRight w:val="0"/>
      <w:marTop w:val="0"/>
      <w:marBottom w:val="0"/>
      <w:divBdr>
        <w:top w:val="none" w:sz="0" w:space="0" w:color="auto"/>
        <w:left w:val="none" w:sz="0" w:space="0" w:color="auto"/>
        <w:bottom w:val="none" w:sz="0" w:space="0" w:color="auto"/>
        <w:right w:val="none" w:sz="0" w:space="0" w:color="auto"/>
      </w:divBdr>
    </w:div>
    <w:div w:id="1032850388">
      <w:bodyDiv w:val="1"/>
      <w:marLeft w:val="0"/>
      <w:marRight w:val="0"/>
      <w:marTop w:val="0"/>
      <w:marBottom w:val="0"/>
      <w:divBdr>
        <w:top w:val="none" w:sz="0" w:space="0" w:color="auto"/>
        <w:left w:val="none" w:sz="0" w:space="0" w:color="auto"/>
        <w:bottom w:val="none" w:sz="0" w:space="0" w:color="auto"/>
        <w:right w:val="none" w:sz="0" w:space="0" w:color="auto"/>
      </w:divBdr>
      <w:divsChild>
        <w:div w:id="246306958">
          <w:marLeft w:val="86"/>
          <w:marRight w:val="0"/>
          <w:marTop w:val="96"/>
          <w:marBottom w:val="0"/>
          <w:divBdr>
            <w:top w:val="none" w:sz="0" w:space="0" w:color="auto"/>
            <w:left w:val="none" w:sz="0" w:space="0" w:color="auto"/>
            <w:bottom w:val="none" w:sz="0" w:space="0" w:color="auto"/>
            <w:right w:val="none" w:sz="0" w:space="0" w:color="auto"/>
          </w:divBdr>
        </w:div>
        <w:div w:id="1803040382">
          <w:marLeft w:val="806"/>
          <w:marRight w:val="0"/>
          <w:marTop w:val="77"/>
          <w:marBottom w:val="0"/>
          <w:divBdr>
            <w:top w:val="none" w:sz="0" w:space="0" w:color="auto"/>
            <w:left w:val="none" w:sz="0" w:space="0" w:color="auto"/>
            <w:bottom w:val="none" w:sz="0" w:space="0" w:color="auto"/>
            <w:right w:val="none" w:sz="0" w:space="0" w:color="auto"/>
          </w:divBdr>
        </w:div>
        <w:div w:id="1376541728">
          <w:marLeft w:val="806"/>
          <w:marRight w:val="0"/>
          <w:marTop w:val="77"/>
          <w:marBottom w:val="0"/>
          <w:divBdr>
            <w:top w:val="none" w:sz="0" w:space="0" w:color="auto"/>
            <w:left w:val="none" w:sz="0" w:space="0" w:color="auto"/>
            <w:bottom w:val="none" w:sz="0" w:space="0" w:color="auto"/>
            <w:right w:val="none" w:sz="0" w:space="0" w:color="auto"/>
          </w:divBdr>
        </w:div>
        <w:div w:id="139854209">
          <w:marLeft w:val="806"/>
          <w:marRight w:val="0"/>
          <w:marTop w:val="77"/>
          <w:marBottom w:val="0"/>
          <w:divBdr>
            <w:top w:val="none" w:sz="0" w:space="0" w:color="auto"/>
            <w:left w:val="none" w:sz="0" w:space="0" w:color="auto"/>
            <w:bottom w:val="none" w:sz="0" w:space="0" w:color="auto"/>
            <w:right w:val="none" w:sz="0" w:space="0" w:color="auto"/>
          </w:divBdr>
        </w:div>
        <w:div w:id="1974171131">
          <w:marLeft w:val="806"/>
          <w:marRight w:val="0"/>
          <w:marTop w:val="77"/>
          <w:marBottom w:val="0"/>
          <w:divBdr>
            <w:top w:val="none" w:sz="0" w:space="0" w:color="auto"/>
            <w:left w:val="none" w:sz="0" w:space="0" w:color="auto"/>
            <w:bottom w:val="none" w:sz="0" w:space="0" w:color="auto"/>
            <w:right w:val="none" w:sz="0" w:space="0" w:color="auto"/>
          </w:divBdr>
        </w:div>
        <w:div w:id="382291398">
          <w:marLeft w:val="806"/>
          <w:marRight w:val="0"/>
          <w:marTop w:val="77"/>
          <w:marBottom w:val="0"/>
          <w:divBdr>
            <w:top w:val="none" w:sz="0" w:space="0" w:color="auto"/>
            <w:left w:val="none" w:sz="0" w:space="0" w:color="auto"/>
            <w:bottom w:val="none" w:sz="0" w:space="0" w:color="auto"/>
            <w:right w:val="none" w:sz="0" w:space="0" w:color="auto"/>
          </w:divBdr>
        </w:div>
      </w:divsChild>
    </w:div>
    <w:div w:id="130882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97D43-F363-4602-B3AC-468E9DC41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673</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Kira Kimick</dc:creator>
  <cp:lastModifiedBy>Melanie</cp:lastModifiedBy>
  <cp:revision>2</cp:revision>
  <dcterms:created xsi:type="dcterms:W3CDTF">2017-05-04T22:58:00Z</dcterms:created>
  <dcterms:modified xsi:type="dcterms:W3CDTF">2017-05-04T22:58:00Z</dcterms:modified>
</cp:coreProperties>
</file>